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C63CBE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A6755B">
        <w:rPr>
          <w:bCs/>
          <w:noProof w:val="0"/>
          <w:sz w:val="24"/>
          <w:szCs w:val="24"/>
        </w:rPr>
        <w:t>05160</w:t>
      </w:r>
    </w:p>
    <w:p w14:paraId="11776FA6" w14:textId="51C2289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1</w:t>
      </w:r>
      <w:r w:rsidR="006574C0" w:rsidRPr="006574C0">
        <w:rPr>
          <w:rFonts w:eastAsia="SimSun"/>
          <w:bCs/>
          <w:sz w:val="24"/>
          <w:szCs w:val="24"/>
          <w:lang w:eastAsia="zh-CN"/>
        </w:rPr>
        <w:t xml:space="preserve"> – </w:t>
      </w:r>
      <w:r w:rsidR="0036459E">
        <w:rPr>
          <w:rFonts w:eastAsia="SimSun"/>
          <w:bCs/>
          <w:sz w:val="24"/>
          <w:szCs w:val="24"/>
          <w:lang w:eastAsia="zh-CN"/>
        </w:rPr>
        <w:t>1</w:t>
      </w:r>
      <w:r w:rsidR="008054E1">
        <w:rPr>
          <w:rFonts w:eastAsia="SimSun"/>
          <w:bCs/>
          <w:sz w:val="24"/>
          <w:szCs w:val="24"/>
          <w:lang w:eastAsia="zh-CN"/>
        </w:rPr>
        <w:t>2</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05A04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D18F5">
        <w:rPr>
          <w:rFonts w:cs="Arial"/>
          <w:b/>
          <w:bCs/>
          <w:sz w:val="24"/>
          <w:lang w:eastAsia="ja-JP"/>
        </w:rPr>
        <w:t>6.9.4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D54A8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C0626">
        <w:rPr>
          <w:rFonts w:ascii="Arial" w:hAnsi="Arial" w:cs="Arial"/>
          <w:b/>
          <w:bCs/>
          <w:sz w:val="24"/>
        </w:rPr>
        <w:t>UE capabilities for Mobility Enhancements WI</w:t>
      </w:r>
    </w:p>
    <w:p w14:paraId="1F147C23" w14:textId="69AA140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47A56" w:rsidRPr="00A47A56">
        <w:rPr>
          <w:rFonts w:ascii="Arial" w:hAnsi="Arial" w:cs="Arial"/>
          <w:b/>
          <w:bCs/>
          <w:sz w:val="24"/>
        </w:rPr>
        <w:t>NR_Mob_enh</w:t>
      </w:r>
      <w:proofErr w:type="spellEnd"/>
      <w:r w:rsidR="00A47A56" w:rsidRPr="00A47A5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A47A5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BBFE0E1" w:rsidR="007F2E08" w:rsidRPr="006E13D1" w:rsidRDefault="00184125" w:rsidP="00A209D6">
      <w:r>
        <w:t xml:space="preserve">UE capabilities for Mobility enhancements WI have been discussed via </w:t>
      </w:r>
      <w:r w:rsidRPr="00184125">
        <w:t>[109b#930] UE capabilities for NR mobility</w:t>
      </w:r>
      <w:r>
        <w:t xml:space="preserve"> e-mail thread (report available in [1]).</w:t>
      </w:r>
      <w:r w:rsidR="00874128">
        <w:t xml:space="preserve"> This paper presents our further view on the topics that</w:t>
      </w:r>
      <w:r w:rsidR="00191C61">
        <w:t xml:space="preserve"> collected diverging views in [1]</w:t>
      </w:r>
      <w:r w:rsidR="00874128">
        <w:t>.</w:t>
      </w:r>
    </w:p>
    <w:p w14:paraId="4F547731" w14:textId="135A8343" w:rsidR="00A209D6" w:rsidRPr="006E13D1" w:rsidRDefault="00A209D6" w:rsidP="00191C61">
      <w:pPr>
        <w:pStyle w:val="Heading1"/>
      </w:pPr>
      <w:r w:rsidRPr="006E13D1">
        <w:t>2</w:t>
      </w:r>
      <w:r w:rsidRPr="006E13D1">
        <w:tab/>
      </w:r>
      <w:r w:rsidR="00191C61">
        <w:t>Discussion</w:t>
      </w:r>
    </w:p>
    <w:p w14:paraId="0CFF4F8F" w14:textId="64A09E3D" w:rsidR="00191C61" w:rsidRDefault="00191C61" w:rsidP="00191C61">
      <w:pPr>
        <w:pStyle w:val="Heading2"/>
      </w:pPr>
      <w:r>
        <w:t xml:space="preserve">2.1 </w:t>
      </w:r>
      <w:r w:rsidR="0074204D">
        <w:tab/>
      </w:r>
      <w:r w:rsidR="003F2275">
        <w:t>How many CHO/CPC candidates the UE shall support</w:t>
      </w:r>
    </w:p>
    <w:p w14:paraId="2B42210C" w14:textId="2B92B204" w:rsidR="001A7555" w:rsidRDefault="003F2275" w:rsidP="00421CC4">
      <w:pPr>
        <w:jc w:val="both"/>
      </w:pPr>
      <w:r>
        <w:t xml:space="preserve">In [1] it was discussed if there shall be a separate capability for describing maximum number of candidate cells the UE can support. </w:t>
      </w:r>
      <w:r w:rsidR="00341B48">
        <w:t>Large majority of RAN2 stakeholders believes there is no need to introduce a separate capability and it is sufficient to rely on the UE’s support for CHO</w:t>
      </w:r>
      <w:r w:rsidR="001A7555">
        <w:t xml:space="preserve"> functionality</w:t>
      </w:r>
      <w:r w:rsidR="00341B48">
        <w:t xml:space="preserve"> + the configuration of the RRC parameter describing how many candidate cells the UE can be configured with</w:t>
      </w:r>
      <w:r w:rsidR="001A7555">
        <w:t xml:space="preserve"> (it was agreed to support up to 8 such cells)</w:t>
      </w:r>
      <w:r w:rsidR="00341B48">
        <w:t xml:space="preserve">. While we are fine with such approach, we would like to present also alternative proposal, to make sure the CHO is </w:t>
      </w:r>
      <w:r w:rsidR="001A7555">
        <w:t>still functional while increasing the chances it is widely implemented (due to its relative simplicity). As we have claimed also in the past (in the initial phase of this Rel-16 WI), the major part of the CHO benefits originates from the early preparation, not from the existence of multiple candidate cells. Thus, there shall be no performance degradation if by default a UE tha</w:t>
      </w:r>
      <w:r w:rsidR="00421CC4">
        <w:t>t</w:t>
      </w:r>
      <w:r w:rsidR="001A7555">
        <w:t xml:space="preserve"> supports CHO, supports a single CHO candidate target cell. Then, anything beyond 1 and below maximum number of candidates (i.e. 8) will be subject to a separate capability (e.g. </w:t>
      </w:r>
      <w:proofErr w:type="spellStart"/>
      <w:r w:rsidR="001F5E97" w:rsidRPr="001F5E97">
        <w:rPr>
          <w:i/>
          <w:iCs/>
        </w:rPr>
        <w:t>cho-multipleC</w:t>
      </w:r>
      <w:r w:rsidR="001A7555" w:rsidRPr="001F5E97">
        <w:rPr>
          <w:i/>
          <w:iCs/>
        </w:rPr>
        <w:t>andidates</w:t>
      </w:r>
      <w:proofErr w:type="spellEnd"/>
      <w:r w:rsidR="001A7555">
        <w:t>).</w:t>
      </w:r>
    </w:p>
    <w:p w14:paraId="17896F6E" w14:textId="7F6B0915" w:rsidR="001A7555" w:rsidRPr="003B0110" w:rsidRDefault="001A7555" w:rsidP="00421CC4">
      <w:pPr>
        <w:jc w:val="both"/>
        <w:rPr>
          <w:b/>
          <w:bCs/>
        </w:rPr>
      </w:pPr>
      <w:bookmarkStart w:id="0" w:name="_Hlk40968189"/>
      <w:r w:rsidRPr="003B0110">
        <w:rPr>
          <w:b/>
          <w:bCs/>
        </w:rPr>
        <w:t>Observation 1:</w:t>
      </w:r>
      <w:r w:rsidR="00BA01F2" w:rsidRPr="003B0110">
        <w:rPr>
          <w:b/>
          <w:bCs/>
        </w:rPr>
        <w:t xml:space="preserve"> To ensure smooth implementation of CHO without </w:t>
      </w:r>
      <w:r w:rsidR="00B131EA">
        <w:rPr>
          <w:b/>
          <w:bCs/>
        </w:rPr>
        <w:t xml:space="preserve">delaying the feature introduction or </w:t>
      </w:r>
      <w:r w:rsidR="00BA01F2" w:rsidRPr="003B0110">
        <w:rPr>
          <w:b/>
          <w:bCs/>
        </w:rPr>
        <w:t>degrading its performance, it is sufficient to support a single candidate target cell.</w:t>
      </w:r>
    </w:p>
    <w:p w14:paraId="71645F06" w14:textId="4F3B851E" w:rsidR="00341B48" w:rsidRPr="003B0110" w:rsidRDefault="001A7555" w:rsidP="00421CC4">
      <w:pPr>
        <w:jc w:val="both"/>
        <w:rPr>
          <w:b/>
          <w:bCs/>
        </w:rPr>
      </w:pPr>
      <w:r w:rsidRPr="003B0110">
        <w:rPr>
          <w:b/>
          <w:bCs/>
        </w:rPr>
        <w:t xml:space="preserve">Proposal 1: </w:t>
      </w:r>
      <w:r w:rsidR="00BA01F2" w:rsidRPr="003B0110">
        <w:rPr>
          <w:b/>
          <w:bCs/>
        </w:rPr>
        <w:t xml:space="preserve">UE supporting CHO supports </w:t>
      </w:r>
      <w:r w:rsidR="003B0110" w:rsidRPr="003B0110">
        <w:rPr>
          <w:b/>
          <w:bCs/>
        </w:rPr>
        <w:t>a single CHO candidate target cell</w:t>
      </w:r>
      <w:r w:rsidR="00B131EA">
        <w:rPr>
          <w:b/>
          <w:bCs/>
        </w:rPr>
        <w:t xml:space="preserve"> by default</w:t>
      </w:r>
      <w:r w:rsidR="003B0110" w:rsidRPr="003B0110">
        <w:rPr>
          <w:b/>
          <w:bCs/>
        </w:rPr>
        <w:t xml:space="preserve">. Supporting more than one </w:t>
      </w:r>
      <w:r w:rsidR="00B131EA">
        <w:rPr>
          <w:b/>
          <w:bCs/>
        </w:rPr>
        <w:t xml:space="preserve">candidate cell (i.e. up to 8) </w:t>
      </w:r>
      <w:r w:rsidR="003B0110" w:rsidRPr="003B0110">
        <w:rPr>
          <w:b/>
          <w:bCs/>
        </w:rPr>
        <w:t xml:space="preserve">is subject to a separate capability (e.g. </w:t>
      </w:r>
      <w:proofErr w:type="spellStart"/>
      <w:r w:rsidR="001F5E97" w:rsidRPr="001F5E97">
        <w:rPr>
          <w:b/>
          <w:bCs/>
          <w:i/>
          <w:iCs/>
        </w:rPr>
        <w:t>cho-</w:t>
      </w:r>
      <w:r w:rsidR="00DE3C8E">
        <w:rPr>
          <w:b/>
          <w:bCs/>
          <w:i/>
          <w:iCs/>
        </w:rPr>
        <w:t>m</w:t>
      </w:r>
      <w:r w:rsidR="001F5E97" w:rsidRPr="001F5E97">
        <w:rPr>
          <w:b/>
          <w:bCs/>
          <w:i/>
          <w:iCs/>
        </w:rPr>
        <w:t>ultipleC</w:t>
      </w:r>
      <w:r w:rsidR="003B0110" w:rsidRPr="001F5E97">
        <w:rPr>
          <w:b/>
          <w:bCs/>
          <w:i/>
          <w:iCs/>
        </w:rPr>
        <w:t>andidates</w:t>
      </w:r>
      <w:proofErr w:type="spellEnd"/>
      <w:r w:rsidR="003B0110" w:rsidRPr="003B0110">
        <w:rPr>
          <w:b/>
          <w:bCs/>
        </w:rPr>
        <w:t>).</w:t>
      </w:r>
    </w:p>
    <w:bookmarkEnd w:id="0"/>
    <w:p w14:paraId="329E6064" w14:textId="00E37E74" w:rsidR="00341B48" w:rsidRDefault="00341B48">
      <w:pPr>
        <w:pStyle w:val="Heading2"/>
      </w:pPr>
      <w:r>
        <w:t xml:space="preserve">2.2 </w:t>
      </w:r>
      <w:r w:rsidR="0074204D">
        <w:tab/>
      </w:r>
      <w:r w:rsidR="003B0110">
        <w:t>Two triggering events for one execution condition</w:t>
      </w:r>
    </w:p>
    <w:p w14:paraId="4125B341" w14:textId="4F94D730" w:rsidR="00C9525B" w:rsidRDefault="005C25E8" w:rsidP="008652F8">
      <w:pPr>
        <w:jc w:val="both"/>
      </w:pPr>
      <w:r>
        <w:t xml:space="preserve">Another topic which was discussed in [1] concerned whether two triggering events for one </w:t>
      </w:r>
      <w:r w:rsidR="007C5E33">
        <w:t xml:space="preserve">CHO </w:t>
      </w:r>
      <w:r>
        <w:t xml:space="preserve">execution condition shall be implicitly supported for all CHO-capable UEs or shall be </w:t>
      </w:r>
      <w:r w:rsidR="00156798">
        <w:t>subject to a separate capability. The views provided by involved companies were very split</w:t>
      </w:r>
      <w:r w:rsidR="007C5E33">
        <w:t xml:space="preserve">, with a slight majority saying this is not a part of basic CHO scheme, so should not be supported by all UEs. We tend to share this approach, especially when we recall how reluctant lots of companies were to even introduce the possibility to </w:t>
      </w:r>
      <w:r w:rsidR="00C9525B">
        <w:t>use two triggering events. At RAN2</w:t>
      </w:r>
      <w:r w:rsidR="00C9525B">
        <w:rPr>
          <w:lang w:val="pl-PL"/>
        </w:rPr>
        <w:t>#</w:t>
      </w:r>
      <w:r w:rsidR="00C9525B">
        <w:t>10</w:t>
      </w:r>
      <w:r w:rsidR="008652F8">
        <w:t>7</w:t>
      </w:r>
      <w:r w:rsidR="00C9525B">
        <w:t xml:space="preserve"> the following has been agreed:</w:t>
      </w:r>
    </w:p>
    <w:tbl>
      <w:tblPr>
        <w:tblStyle w:val="TableGrid"/>
        <w:tblW w:w="0" w:type="auto"/>
        <w:tblLook w:val="04A0" w:firstRow="1" w:lastRow="0" w:firstColumn="1" w:lastColumn="0" w:noHBand="0" w:noVBand="1"/>
      </w:tblPr>
      <w:tblGrid>
        <w:gridCol w:w="9631"/>
      </w:tblGrid>
      <w:tr w:rsidR="00C9525B" w14:paraId="7C4AE4E3" w14:textId="77777777" w:rsidTr="00C9525B">
        <w:tc>
          <w:tcPr>
            <w:tcW w:w="9631" w:type="dxa"/>
          </w:tcPr>
          <w:p w14:paraId="6E6D906F" w14:textId="644B1210" w:rsidR="00C9525B" w:rsidRDefault="008652F8" w:rsidP="008652F8">
            <w:r w:rsidRPr="008652F8">
              <w:t>7</w:t>
            </w:r>
            <w:r w:rsidRPr="008652F8">
              <w:tab/>
              <w:t>Allow having multiple triggering conditions (using “and”) for CHO execution of a single candidate cell. Only single RS type per CHO candidate is supported. At most two triggering quantities (e.g. RSRP and RSRQ, RSRP and SINR, etc.) can be configured simult</w:t>
            </w:r>
            <w:r>
              <w:t>a</w:t>
            </w:r>
            <w:r w:rsidRPr="008652F8">
              <w:t>neously. FFS on UE capability.</w:t>
            </w:r>
          </w:p>
        </w:tc>
      </w:tr>
    </w:tbl>
    <w:p w14:paraId="5F56EE69" w14:textId="31641BD4" w:rsidR="00421CC4" w:rsidRDefault="00C9525B" w:rsidP="008652F8">
      <w:pPr>
        <w:jc w:val="both"/>
      </w:pPr>
      <w:r>
        <w:br/>
      </w:r>
      <w:r w:rsidR="008652F8">
        <w:t>We do not want to analyse in detail the wording, but</w:t>
      </w:r>
      <w:r w:rsidR="0068233E">
        <w:t xml:space="preserve"> the statement </w:t>
      </w:r>
      <w:r w:rsidR="0068233E" w:rsidRPr="00FF7221">
        <w:rPr>
          <w:i/>
          <w:iCs/>
        </w:rPr>
        <w:t>“allow having…”</w:t>
      </w:r>
      <w:r w:rsidR="0068233E">
        <w:t xml:space="preserve"> does not seem to imply a default mode of operation, but </w:t>
      </w:r>
      <w:r w:rsidR="002E636E">
        <w:t xml:space="preserve">rather something that </w:t>
      </w:r>
      <w:r w:rsidR="00FF7221">
        <w:t xml:space="preserve">clearly </w:t>
      </w:r>
      <w:r w:rsidR="002E636E">
        <w:t xml:space="preserve">is </w:t>
      </w:r>
      <w:r w:rsidR="0068233E">
        <w:t>option</w:t>
      </w:r>
      <w:r w:rsidR="002E636E">
        <w:t>al</w:t>
      </w:r>
      <w:r w:rsidR="0068233E">
        <w:t>.</w:t>
      </w:r>
      <w:r w:rsidR="008652F8">
        <w:t xml:space="preserve"> </w:t>
      </w:r>
      <w:r w:rsidR="002E636E">
        <w:t>Once again, as claimed in subsection 2.1,</w:t>
      </w:r>
      <w:r w:rsidR="00FF7221">
        <w:t xml:space="preserve"> to ensure basic CHO is widely implemented, all functionalities that are not essential for </w:t>
      </w:r>
      <w:r w:rsidR="00B4513A">
        <w:t xml:space="preserve">Rel-16 </w:t>
      </w:r>
      <w:r w:rsidR="00FF7221">
        <w:t>CHO to work</w:t>
      </w:r>
      <w:r w:rsidR="00B4513A">
        <w:t xml:space="preserve">, shall not be supported by default by all CHO-capable UEs. Thus, we propose </w:t>
      </w:r>
      <w:r w:rsidR="001F5E97">
        <w:t xml:space="preserve">to add a capability for this (e.g. </w:t>
      </w:r>
      <w:proofErr w:type="spellStart"/>
      <w:r w:rsidR="001F5E97" w:rsidRPr="001F5E97">
        <w:rPr>
          <w:i/>
          <w:iCs/>
        </w:rPr>
        <w:t>cho-TwoTriggeringEvents</w:t>
      </w:r>
      <w:proofErr w:type="spellEnd"/>
      <w:r w:rsidR="001F5E97">
        <w:t xml:space="preserve">) as per </w:t>
      </w:r>
      <w:r w:rsidR="00B4513A">
        <w:t xml:space="preserve">the following: </w:t>
      </w:r>
    </w:p>
    <w:p w14:paraId="51175CC5" w14:textId="52F0C22D" w:rsidR="00341B48" w:rsidRPr="00341B48" w:rsidRDefault="005037F7" w:rsidP="008652F8">
      <w:pPr>
        <w:jc w:val="both"/>
      </w:pPr>
      <w:r w:rsidRPr="003B0110">
        <w:rPr>
          <w:b/>
          <w:bCs/>
        </w:rPr>
        <w:lastRenderedPageBreak/>
        <w:t xml:space="preserve">Proposal </w:t>
      </w:r>
      <w:r>
        <w:rPr>
          <w:b/>
          <w:bCs/>
        </w:rPr>
        <w:t>2</w:t>
      </w:r>
      <w:r w:rsidRPr="003B0110">
        <w:rPr>
          <w:b/>
          <w:bCs/>
        </w:rPr>
        <w:t xml:space="preserve">: </w:t>
      </w:r>
      <w:r w:rsidR="00446CD8">
        <w:rPr>
          <w:b/>
          <w:bCs/>
        </w:rPr>
        <w:t>Support of two triggering events for one CHO/CPC execution condition is subject to a UE capability</w:t>
      </w:r>
      <w:r w:rsidR="001F5E97">
        <w:rPr>
          <w:b/>
          <w:bCs/>
        </w:rPr>
        <w:t xml:space="preserve"> (e.g. </w:t>
      </w:r>
      <w:proofErr w:type="spellStart"/>
      <w:r w:rsidR="001F5E97" w:rsidRPr="001F5E97">
        <w:rPr>
          <w:b/>
          <w:bCs/>
          <w:i/>
          <w:iCs/>
        </w:rPr>
        <w:t>cho-TwoTriggeringEvents</w:t>
      </w:r>
      <w:proofErr w:type="spellEnd"/>
      <w:r w:rsidR="001F5E97">
        <w:rPr>
          <w:b/>
          <w:bCs/>
        </w:rPr>
        <w:t>)</w:t>
      </w:r>
      <w:r w:rsidR="00446CD8">
        <w:rPr>
          <w:b/>
          <w:bCs/>
        </w:rPr>
        <w:t xml:space="preserve">. </w:t>
      </w:r>
    </w:p>
    <w:p w14:paraId="25051487" w14:textId="11EC4C3C" w:rsidR="00421CC4" w:rsidRDefault="00421CC4">
      <w:pPr>
        <w:pStyle w:val="Heading2"/>
      </w:pPr>
      <w:r>
        <w:t xml:space="preserve">2.3 </w:t>
      </w:r>
      <w:r w:rsidR="0074204D">
        <w:tab/>
      </w:r>
      <w:r w:rsidR="00B70048">
        <w:t>Separate capability for</w:t>
      </w:r>
      <w:r w:rsidR="007A7353">
        <w:t xml:space="preserve"> CHO in </w:t>
      </w:r>
      <w:r>
        <w:t>FDD-TDD</w:t>
      </w:r>
      <w:r w:rsidR="00B70048">
        <w:t xml:space="preserve"> or</w:t>
      </w:r>
      <w:r>
        <w:t xml:space="preserve"> FR1-FR2</w:t>
      </w:r>
      <w:r w:rsidR="007A7353">
        <w:t xml:space="preserve"> cases</w:t>
      </w:r>
      <w:r>
        <w:t xml:space="preserve"> </w:t>
      </w:r>
    </w:p>
    <w:p w14:paraId="17DDF8DF" w14:textId="7D0F87C8" w:rsidR="00273BAA" w:rsidRDefault="00E72C68" w:rsidP="00F25966">
      <w:pPr>
        <w:jc w:val="both"/>
      </w:pPr>
      <w:r>
        <w:t>A final issue we want to</w:t>
      </w:r>
      <w:r w:rsidR="0074204D">
        <w:t xml:space="preserve"> address</w:t>
      </w:r>
      <w:r w:rsidR="007A7353">
        <w:t xml:space="preserve"> is</w:t>
      </w:r>
      <w:r w:rsidR="0074204D">
        <w:t xml:space="preserve"> the need of the following capabilities: </w:t>
      </w:r>
      <w:r w:rsidR="0074204D" w:rsidRPr="0074204D">
        <w:t>cho-FDD-TDD-r16 and cho-FR1-FR2-r16</w:t>
      </w:r>
      <w:r w:rsidR="007A7353">
        <w:t xml:space="preserve">. This question has been inserted in [1] relatively late, so not all companies managed to express their opinions. In our view, the support of </w:t>
      </w:r>
      <w:proofErr w:type="spellStart"/>
      <w:r w:rsidR="007A7353" w:rsidRPr="007A7353">
        <w:t>handoverFDD</w:t>
      </w:r>
      <w:proofErr w:type="spellEnd"/>
      <w:r w:rsidR="007A7353" w:rsidRPr="007A7353">
        <w:t>-TDD</w:t>
      </w:r>
      <w:r w:rsidR="007A7353">
        <w:t xml:space="preserve">, </w:t>
      </w:r>
      <w:r w:rsidR="007A7353" w:rsidRPr="007A7353">
        <w:t>handoverFR1-FR2</w:t>
      </w:r>
      <w:r w:rsidR="007A7353">
        <w:t xml:space="preserve"> and support of </w:t>
      </w:r>
      <w:r w:rsidR="00F25966">
        <w:t>CHO</w:t>
      </w:r>
      <w:r w:rsidR="007A7353">
        <w:t xml:space="preserve"> shall be sufficient to conclude the UE also supports </w:t>
      </w:r>
      <w:r w:rsidR="00F25966">
        <w:t>CHO</w:t>
      </w:r>
      <w:r w:rsidR="007A7353">
        <w:t xml:space="preserve"> in FDD-TDD and FR1-FR2 cases. </w:t>
      </w:r>
    </w:p>
    <w:p w14:paraId="14C9E250" w14:textId="1C9091FE" w:rsidR="00273BAA" w:rsidRPr="00273BAA" w:rsidRDefault="007618CB" w:rsidP="00F25966">
      <w:pPr>
        <w:jc w:val="both"/>
        <w:rPr>
          <w:b/>
          <w:bCs/>
        </w:rPr>
      </w:pPr>
      <w:r>
        <w:rPr>
          <w:b/>
          <w:bCs/>
        </w:rPr>
        <w:t>Observation</w:t>
      </w:r>
      <w:r w:rsidR="00273BAA" w:rsidRPr="007A7353">
        <w:rPr>
          <w:b/>
          <w:bCs/>
        </w:rPr>
        <w:t xml:space="preserve"> </w:t>
      </w:r>
      <w:r>
        <w:rPr>
          <w:b/>
          <w:bCs/>
        </w:rPr>
        <w:t>2</w:t>
      </w:r>
      <w:r w:rsidR="00273BAA" w:rsidRPr="007A7353">
        <w:rPr>
          <w:b/>
          <w:bCs/>
        </w:rPr>
        <w:t xml:space="preserve">: </w:t>
      </w:r>
      <w:r w:rsidR="00F25966">
        <w:rPr>
          <w:b/>
          <w:bCs/>
        </w:rPr>
        <w:t xml:space="preserve">The support of CHO in FDD-TDD or FR1-FR2 cases can be inferred from </w:t>
      </w:r>
      <w:proofErr w:type="spellStart"/>
      <w:r w:rsidR="00F25966" w:rsidRPr="00F25966">
        <w:rPr>
          <w:b/>
          <w:bCs/>
        </w:rPr>
        <w:t>handover</w:t>
      </w:r>
      <w:r w:rsidR="00C7540F">
        <w:rPr>
          <w:b/>
          <w:bCs/>
        </w:rPr>
        <w:t>FDD</w:t>
      </w:r>
      <w:proofErr w:type="spellEnd"/>
      <w:r w:rsidR="00C7540F">
        <w:rPr>
          <w:b/>
          <w:bCs/>
        </w:rPr>
        <w:t>-</w:t>
      </w:r>
      <w:r w:rsidR="00F25966" w:rsidRPr="00F25966">
        <w:rPr>
          <w:b/>
          <w:bCs/>
        </w:rPr>
        <w:t xml:space="preserve">TDD, handoverFR1-FR2 and </w:t>
      </w:r>
      <w:r w:rsidR="00F25966">
        <w:rPr>
          <w:b/>
          <w:bCs/>
        </w:rPr>
        <w:t>cho-r16 capabilities.</w:t>
      </w:r>
    </w:p>
    <w:p w14:paraId="657BB8F7" w14:textId="4E3D2B74" w:rsidR="00421CC4" w:rsidRDefault="007A7353" w:rsidP="00F25966">
      <w:pPr>
        <w:jc w:val="both"/>
      </w:pPr>
      <w:r>
        <w:t>However, irrespective of that, we believe it shall be clarified wh</w:t>
      </w:r>
      <w:r w:rsidR="00273BAA">
        <w:t xml:space="preserve">at does in fact mean that the UE supports CHO in FDD-TDD case. Is that bi-directional, i.e. from TDD to FDD and FDD to TDD? In addition, the association with FR1-FR2 capability shall be also clarified, e.g. is TDD-FDD supported only for FR1-FR2 transition? Or can it be done also within FR1? Does it mean any carrier within </w:t>
      </w:r>
      <w:proofErr w:type="spellStart"/>
      <w:r w:rsidR="00273BAA">
        <w:t>FRx</w:t>
      </w:r>
      <w:proofErr w:type="spellEnd"/>
      <w:r w:rsidR="00273BAA">
        <w:t xml:space="preserve"> is supported</w:t>
      </w:r>
      <w:r w:rsidR="001F5E97">
        <w:t>? Since there are many questions to resolve, we would propose to attempt to resolve these in online discussion to see if there are many open issues</w:t>
      </w:r>
      <w:r w:rsidR="00273BAA">
        <w:t xml:space="preserve">. </w:t>
      </w:r>
      <w:r>
        <w:t xml:space="preserve"> </w:t>
      </w:r>
    </w:p>
    <w:p w14:paraId="05F1D82D" w14:textId="023BFA45" w:rsidR="00E36C25" w:rsidRDefault="00273BAA" w:rsidP="00F25966">
      <w:pPr>
        <w:jc w:val="both"/>
        <w:rPr>
          <w:b/>
          <w:bCs/>
        </w:rPr>
      </w:pPr>
      <w:r w:rsidRPr="007A7353">
        <w:rPr>
          <w:b/>
          <w:bCs/>
        </w:rPr>
        <w:t xml:space="preserve">Proposal </w:t>
      </w:r>
      <w:r w:rsidR="007618CB">
        <w:rPr>
          <w:b/>
          <w:bCs/>
        </w:rPr>
        <w:t>3</w:t>
      </w:r>
      <w:r w:rsidRPr="007A7353">
        <w:rPr>
          <w:b/>
          <w:bCs/>
        </w:rPr>
        <w:t xml:space="preserve">: </w:t>
      </w:r>
      <w:r w:rsidR="00F25966">
        <w:rPr>
          <w:b/>
          <w:bCs/>
        </w:rPr>
        <w:t>RAN2 to discuss and resolve the FDD-TDD, CHO and FR1-FR2 capability co-existence ambiguities.</w:t>
      </w:r>
    </w:p>
    <w:p w14:paraId="0CA21CA8" w14:textId="2C384654" w:rsidR="001F5E97" w:rsidRDefault="001F5E97" w:rsidP="00F25966">
      <w:pPr>
        <w:jc w:val="both"/>
      </w:pPr>
      <w:r>
        <w:t>In our view (as stated above), UE supporting CHO also supports CHO for any cross-XDD or cross-FRX cases that it supports otherwise. Therefore, having a capability for TDD-FDD CHO, FDD-TDD CHO, FR1-FR2 CHO or FR2-FR1 CHO doesn’t seem necessary as the CHO procedure as such is not dependent on the inter-duplex or inter-frequency range specifics.</w:t>
      </w:r>
    </w:p>
    <w:p w14:paraId="05EEDF2F" w14:textId="6F34F4AE" w:rsidR="001F5E97" w:rsidRPr="001F5E97" w:rsidRDefault="001F5E97" w:rsidP="00F25966">
      <w:pPr>
        <w:jc w:val="both"/>
        <w:rPr>
          <w:b/>
          <w:bCs/>
        </w:rPr>
      </w:pPr>
      <w:r w:rsidRPr="001F5E97">
        <w:rPr>
          <w:b/>
          <w:bCs/>
        </w:rPr>
        <w:t xml:space="preserve">Proposal </w:t>
      </w:r>
      <w:r w:rsidR="007618CB">
        <w:rPr>
          <w:b/>
          <w:bCs/>
        </w:rPr>
        <w:t>4</w:t>
      </w:r>
      <w:r w:rsidRPr="001F5E97">
        <w:rPr>
          <w:b/>
          <w:bCs/>
        </w:rPr>
        <w:t>: Do not introduce additional UE capabilities for XDD-YDD CHO or FRX-FRY CHO. UE support of CHO for these cases is inferred from the other handover capabilities.</w:t>
      </w:r>
    </w:p>
    <w:p w14:paraId="5FF2457F" w14:textId="2AA27205" w:rsidR="00A209D6" w:rsidRPr="006E13D1" w:rsidRDefault="00421CC4" w:rsidP="00A209D6">
      <w:pPr>
        <w:pStyle w:val="Heading1"/>
      </w:pPr>
      <w:r>
        <w:t>3</w:t>
      </w:r>
      <w:r w:rsidR="00A209D6" w:rsidRPr="006E13D1">
        <w:tab/>
      </w:r>
      <w:r w:rsidR="008C3057">
        <w:t>Conclusion</w:t>
      </w:r>
    </w:p>
    <w:p w14:paraId="60449C3F" w14:textId="70490A8F" w:rsidR="00A209D6" w:rsidRPr="006E13D1" w:rsidRDefault="00554AEA" w:rsidP="00F25966">
      <w:pPr>
        <w:jc w:val="both"/>
      </w:pPr>
      <w:r>
        <w:t xml:space="preserve">This paper discussed the contentious issues on UE capabilities for Mobility enhancements. The following </w:t>
      </w:r>
      <w:r w:rsidR="007618CB">
        <w:t xml:space="preserve">observations and </w:t>
      </w:r>
      <w:r>
        <w:t xml:space="preserve">proposals have been made: </w:t>
      </w:r>
    </w:p>
    <w:p w14:paraId="448C197C" w14:textId="77777777" w:rsidR="00B131EA" w:rsidRPr="003B0110" w:rsidRDefault="00B131EA" w:rsidP="00B131EA">
      <w:pPr>
        <w:jc w:val="both"/>
        <w:rPr>
          <w:b/>
          <w:bCs/>
        </w:rPr>
      </w:pPr>
      <w:r w:rsidRPr="003B0110">
        <w:rPr>
          <w:b/>
          <w:bCs/>
        </w:rPr>
        <w:t xml:space="preserve">Observation 1: To ensure smooth implementation of CHO without </w:t>
      </w:r>
      <w:r>
        <w:rPr>
          <w:b/>
          <w:bCs/>
        </w:rPr>
        <w:t xml:space="preserve">delaying the feature introduction or </w:t>
      </w:r>
      <w:r w:rsidRPr="003B0110">
        <w:rPr>
          <w:b/>
          <w:bCs/>
        </w:rPr>
        <w:t>degrading its performance, it is sufficient to support a single candidate target cell.</w:t>
      </w:r>
    </w:p>
    <w:p w14:paraId="4DBA8ADB" w14:textId="67D10E0B" w:rsidR="00B131EA" w:rsidRPr="003B0110" w:rsidRDefault="00B131EA" w:rsidP="00B131EA">
      <w:pPr>
        <w:jc w:val="both"/>
        <w:rPr>
          <w:b/>
          <w:bCs/>
        </w:rPr>
      </w:pPr>
      <w:r w:rsidRPr="003B0110">
        <w:rPr>
          <w:b/>
          <w:bCs/>
        </w:rPr>
        <w:t>Proposal 1: UE supporting CHO supports a single CHO candidate target cell</w:t>
      </w:r>
      <w:r>
        <w:rPr>
          <w:b/>
          <w:bCs/>
        </w:rPr>
        <w:t xml:space="preserve"> by default</w:t>
      </w:r>
      <w:r w:rsidRPr="003B0110">
        <w:rPr>
          <w:b/>
          <w:bCs/>
        </w:rPr>
        <w:t xml:space="preserve">. Supporting more than one </w:t>
      </w:r>
      <w:r>
        <w:rPr>
          <w:b/>
          <w:bCs/>
        </w:rPr>
        <w:t xml:space="preserve">candidate cell (i.e. up to 8) </w:t>
      </w:r>
      <w:r w:rsidRPr="003B0110">
        <w:rPr>
          <w:b/>
          <w:bCs/>
        </w:rPr>
        <w:t xml:space="preserve">is subject to a separate capability </w:t>
      </w:r>
      <w:r w:rsidR="006569F9" w:rsidRPr="003B0110">
        <w:rPr>
          <w:b/>
          <w:bCs/>
        </w:rPr>
        <w:t xml:space="preserve">(e.g. </w:t>
      </w:r>
      <w:proofErr w:type="spellStart"/>
      <w:r w:rsidR="006569F9" w:rsidRPr="001F5E97">
        <w:rPr>
          <w:b/>
          <w:bCs/>
          <w:i/>
          <w:iCs/>
        </w:rPr>
        <w:t>cho-</w:t>
      </w:r>
      <w:r w:rsidR="00DE3C8E">
        <w:rPr>
          <w:b/>
          <w:bCs/>
          <w:i/>
          <w:iCs/>
        </w:rPr>
        <w:t>m</w:t>
      </w:r>
      <w:r w:rsidR="006569F9" w:rsidRPr="001F5E97">
        <w:rPr>
          <w:b/>
          <w:bCs/>
          <w:i/>
          <w:iCs/>
        </w:rPr>
        <w:t>ultipleCandidates</w:t>
      </w:r>
      <w:proofErr w:type="spellEnd"/>
      <w:r w:rsidR="006569F9" w:rsidRPr="003B0110">
        <w:rPr>
          <w:b/>
          <w:bCs/>
        </w:rPr>
        <w:t>)</w:t>
      </w:r>
    </w:p>
    <w:p w14:paraId="35A4934C" w14:textId="770263FA" w:rsidR="00131756" w:rsidRPr="00341B48" w:rsidRDefault="00131756" w:rsidP="00131756">
      <w:pPr>
        <w:jc w:val="both"/>
      </w:pPr>
      <w:r w:rsidRPr="003B0110">
        <w:rPr>
          <w:b/>
          <w:bCs/>
        </w:rPr>
        <w:t xml:space="preserve">Proposal </w:t>
      </w:r>
      <w:r>
        <w:rPr>
          <w:b/>
          <w:bCs/>
        </w:rPr>
        <w:t>2</w:t>
      </w:r>
      <w:r w:rsidRPr="003B0110">
        <w:rPr>
          <w:b/>
          <w:bCs/>
        </w:rPr>
        <w:t xml:space="preserve">: </w:t>
      </w:r>
      <w:r>
        <w:rPr>
          <w:b/>
          <w:bCs/>
        </w:rPr>
        <w:t>Support of two triggering events for one CHO/CPC execution condition is subject to a UE capability</w:t>
      </w:r>
      <w:r w:rsidR="006569F9">
        <w:rPr>
          <w:b/>
          <w:bCs/>
        </w:rPr>
        <w:t xml:space="preserve"> (e.g. </w:t>
      </w:r>
      <w:proofErr w:type="spellStart"/>
      <w:r w:rsidR="006569F9" w:rsidRPr="001F5E97">
        <w:rPr>
          <w:b/>
          <w:bCs/>
          <w:i/>
          <w:iCs/>
        </w:rPr>
        <w:t>cho-TwoTriggeringEvents</w:t>
      </w:r>
      <w:proofErr w:type="spellEnd"/>
      <w:r w:rsidR="006569F9">
        <w:rPr>
          <w:b/>
          <w:bCs/>
        </w:rPr>
        <w:t>).</w:t>
      </w:r>
      <w:r>
        <w:rPr>
          <w:b/>
          <w:bCs/>
        </w:rPr>
        <w:t xml:space="preserve"> </w:t>
      </w:r>
    </w:p>
    <w:p w14:paraId="56CFCBEC" w14:textId="4F0AEC24" w:rsidR="00131756" w:rsidRPr="00273BAA" w:rsidRDefault="007618CB" w:rsidP="00131756">
      <w:pPr>
        <w:jc w:val="both"/>
        <w:rPr>
          <w:b/>
          <w:bCs/>
        </w:rPr>
      </w:pPr>
      <w:r>
        <w:rPr>
          <w:b/>
          <w:bCs/>
        </w:rPr>
        <w:t>Observation</w:t>
      </w:r>
      <w:r w:rsidR="00131756" w:rsidRPr="007A7353">
        <w:rPr>
          <w:b/>
          <w:bCs/>
        </w:rPr>
        <w:t xml:space="preserve"> </w:t>
      </w:r>
      <w:r>
        <w:rPr>
          <w:b/>
          <w:bCs/>
        </w:rPr>
        <w:t>2</w:t>
      </w:r>
      <w:r w:rsidR="00131756" w:rsidRPr="007A7353">
        <w:rPr>
          <w:b/>
          <w:bCs/>
        </w:rPr>
        <w:t xml:space="preserve">: </w:t>
      </w:r>
      <w:r w:rsidR="00131756">
        <w:rPr>
          <w:b/>
          <w:bCs/>
        </w:rPr>
        <w:t xml:space="preserve">The support of CHO in FDD-TDD or FR1-FR2 cases can be inferred from </w:t>
      </w:r>
      <w:proofErr w:type="spellStart"/>
      <w:r w:rsidR="00131756" w:rsidRPr="00F25966">
        <w:rPr>
          <w:b/>
          <w:bCs/>
        </w:rPr>
        <w:t>handover</w:t>
      </w:r>
      <w:r w:rsidR="00C7540F">
        <w:rPr>
          <w:b/>
          <w:bCs/>
        </w:rPr>
        <w:t>FDD</w:t>
      </w:r>
      <w:proofErr w:type="spellEnd"/>
      <w:r w:rsidR="00C7540F">
        <w:rPr>
          <w:b/>
          <w:bCs/>
        </w:rPr>
        <w:t>-</w:t>
      </w:r>
      <w:bookmarkStart w:id="1" w:name="_GoBack"/>
      <w:bookmarkEnd w:id="1"/>
      <w:r w:rsidR="00131756" w:rsidRPr="00F25966">
        <w:rPr>
          <w:b/>
          <w:bCs/>
        </w:rPr>
        <w:t xml:space="preserve">TDD, handoverFR1-FR2 and </w:t>
      </w:r>
      <w:r w:rsidR="00131756">
        <w:rPr>
          <w:b/>
          <w:bCs/>
        </w:rPr>
        <w:t>cho-r16 capabilities.</w:t>
      </w:r>
    </w:p>
    <w:p w14:paraId="35F222F4" w14:textId="3B5B59B6" w:rsidR="00080512" w:rsidRDefault="00131756" w:rsidP="00131756">
      <w:pPr>
        <w:jc w:val="both"/>
        <w:rPr>
          <w:b/>
          <w:bCs/>
        </w:rPr>
      </w:pPr>
      <w:r w:rsidRPr="007A7353">
        <w:rPr>
          <w:b/>
          <w:bCs/>
        </w:rPr>
        <w:t xml:space="preserve">Proposal </w:t>
      </w:r>
      <w:r w:rsidR="007618CB">
        <w:rPr>
          <w:b/>
          <w:bCs/>
        </w:rPr>
        <w:t>3</w:t>
      </w:r>
      <w:r w:rsidRPr="007A7353">
        <w:rPr>
          <w:b/>
          <w:bCs/>
        </w:rPr>
        <w:t xml:space="preserve">: </w:t>
      </w:r>
      <w:r>
        <w:rPr>
          <w:b/>
          <w:bCs/>
        </w:rPr>
        <w:t>RAN2 to discuss and resolve the FDD-TDD, CHO and FR1-FR2 capability co-existence ambiguities.</w:t>
      </w:r>
    </w:p>
    <w:p w14:paraId="67AC90A7" w14:textId="1DDA42F8" w:rsidR="001F5E97" w:rsidRPr="00131756" w:rsidRDefault="001F5E97" w:rsidP="00131756">
      <w:pPr>
        <w:jc w:val="both"/>
        <w:rPr>
          <w:b/>
          <w:bCs/>
        </w:rPr>
      </w:pPr>
      <w:r w:rsidRPr="001A60E8">
        <w:rPr>
          <w:b/>
          <w:bCs/>
        </w:rPr>
        <w:t xml:space="preserve">Proposal </w:t>
      </w:r>
      <w:r w:rsidR="007618CB">
        <w:rPr>
          <w:b/>
          <w:bCs/>
        </w:rPr>
        <w:t>4</w:t>
      </w:r>
      <w:r w:rsidRPr="001A60E8">
        <w:rPr>
          <w:b/>
          <w:bCs/>
        </w:rPr>
        <w:t>: Do not introduce additional UE capabilities for XDD-YDD CHO or FRX-FRY CHO. UE support of CHO for these cases is inferred from the other handover capabilities.</w:t>
      </w:r>
    </w:p>
    <w:p w14:paraId="30453436" w14:textId="7052A4DB" w:rsidR="00184125" w:rsidRDefault="00184125">
      <w:pPr>
        <w:pStyle w:val="Heading1"/>
      </w:pPr>
      <w:r>
        <w:t>References</w:t>
      </w:r>
    </w:p>
    <w:p w14:paraId="2D8B4877" w14:textId="1524BC59" w:rsidR="00184125" w:rsidRPr="00184125" w:rsidRDefault="00184125" w:rsidP="00184125">
      <w:r>
        <w:t>[1] R2-200</w:t>
      </w:r>
      <w:r w:rsidR="00DE3C8E">
        <w:t>4663</w:t>
      </w:r>
      <w:r>
        <w:t xml:space="preserve"> </w:t>
      </w:r>
      <w:r w:rsidRPr="00184125">
        <w:rPr>
          <w:i/>
          <w:iCs/>
        </w:rPr>
        <w:t>Report from [109b#930] UE capabilities for NR mobility</w:t>
      </w:r>
      <w:r>
        <w:t xml:space="preserve"> 3GPP TSG-RAN WG2 Meeting #110e, </w:t>
      </w:r>
      <w:proofErr w:type="spellStart"/>
      <w:r>
        <w:t>Elbonia</w:t>
      </w:r>
      <w:proofErr w:type="spellEnd"/>
      <w:r>
        <w:t>, 1 – 12 June 2020</w:t>
      </w:r>
    </w:p>
    <w:sectPr w:rsidR="00184125" w:rsidRPr="001841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F807C" w14:textId="77777777" w:rsidR="00170041" w:rsidRDefault="00170041">
      <w:r>
        <w:separator/>
      </w:r>
    </w:p>
  </w:endnote>
  <w:endnote w:type="continuationSeparator" w:id="0">
    <w:p w14:paraId="1694B0AA" w14:textId="77777777" w:rsidR="00170041" w:rsidRDefault="00170041">
      <w:r>
        <w:continuationSeparator/>
      </w:r>
    </w:p>
  </w:endnote>
  <w:endnote w:type="continuationNotice" w:id="1">
    <w:p w14:paraId="77A026CE" w14:textId="77777777" w:rsidR="00170041" w:rsidRDefault="00170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4FC63" w14:textId="77777777" w:rsidR="00170041" w:rsidRDefault="00170041">
      <w:r>
        <w:separator/>
      </w:r>
    </w:p>
  </w:footnote>
  <w:footnote w:type="continuationSeparator" w:id="0">
    <w:p w14:paraId="6F9C1941" w14:textId="77777777" w:rsidR="00170041" w:rsidRDefault="00170041">
      <w:r>
        <w:continuationSeparator/>
      </w:r>
    </w:p>
  </w:footnote>
  <w:footnote w:type="continuationNotice" w:id="1">
    <w:p w14:paraId="5A534428" w14:textId="77777777" w:rsidR="00170041" w:rsidRDefault="001700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31756"/>
    <w:rsid w:val="00145075"/>
    <w:rsid w:val="00156798"/>
    <w:rsid w:val="00170041"/>
    <w:rsid w:val="001741A0"/>
    <w:rsid w:val="00175FA0"/>
    <w:rsid w:val="00184125"/>
    <w:rsid w:val="00191C61"/>
    <w:rsid w:val="00194CD0"/>
    <w:rsid w:val="001A7555"/>
    <w:rsid w:val="001B49C9"/>
    <w:rsid w:val="001C23F4"/>
    <w:rsid w:val="001C4F79"/>
    <w:rsid w:val="001F168B"/>
    <w:rsid w:val="001F5E97"/>
    <w:rsid w:val="001F7831"/>
    <w:rsid w:val="00204045"/>
    <w:rsid w:val="0020712B"/>
    <w:rsid w:val="0022606D"/>
    <w:rsid w:val="00231728"/>
    <w:rsid w:val="00250404"/>
    <w:rsid w:val="002610D8"/>
    <w:rsid w:val="00273BAA"/>
    <w:rsid w:val="002747EC"/>
    <w:rsid w:val="002855BF"/>
    <w:rsid w:val="002E636E"/>
    <w:rsid w:val="002F0D22"/>
    <w:rsid w:val="00302B30"/>
    <w:rsid w:val="00311B17"/>
    <w:rsid w:val="003172DC"/>
    <w:rsid w:val="00325AE3"/>
    <w:rsid w:val="00326069"/>
    <w:rsid w:val="00341B48"/>
    <w:rsid w:val="0035462D"/>
    <w:rsid w:val="0036459E"/>
    <w:rsid w:val="00364B41"/>
    <w:rsid w:val="00383096"/>
    <w:rsid w:val="0039346C"/>
    <w:rsid w:val="003A41EF"/>
    <w:rsid w:val="003B0110"/>
    <w:rsid w:val="003B40AD"/>
    <w:rsid w:val="003C4E37"/>
    <w:rsid w:val="003E16BE"/>
    <w:rsid w:val="003F2275"/>
    <w:rsid w:val="003F4E28"/>
    <w:rsid w:val="004006E8"/>
    <w:rsid w:val="00401855"/>
    <w:rsid w:val="00421CC4"/>
    <w:rsid w:val="00446CD8"/>
    <w:rsid w:val="00465587"/>
    <w:rsid w:val="00477455"/>
    <w:rsid w:val="004A1F7B"/>
    <w:rsid w:val="004C44D2"/>
    <w:rsid w:val="004D1A67"/>
    <w:rsid w:val="004D3578"/>
    <w:rsid w:val="004D380D"/>
    <w:rsid w:val="004E213A"/>
    <w:rsid w:val="00503171"/>
    <w:rsid w:val="005037F7"/>
    <w:rsid w:val="00506C28"/>
    <w:rsid w:val="00534DA0"/>
    <w:rsid w:val="00543E6C"/>
    <w:rsid w:val="00547BC2"/>
    <w:rsid w:val="00554AEA"/>
    <w:rsid w:val="00565087"/>
    <w:rsid w:val="0056573F"/>
    <w:rsid w:val="005A49C6"/>
    <w:rsid w:val="005C0626"/>
    <w:rsid w:val="005C25E8"/>
    <w:rsid w:val="00611566"/>
    <w:rsid w:val="00646D99"/>
    <w:rsid w:val="00656910"/>
    <w:rsid w:val="006569F9"/>
    <w:rsid w:val="006574C0"/>
    <w:rsid w:val="0068233E"/>
    <w:rsid w:val="006C66D8"/>
    <w:rsid w:val="006D1E24"/>
    <w:rsid w:val="006E1417"/>
    <w:rsid w:val="006F6A2C"/>
    <w:rsid w:val="007069DC"/>
    <w:rsid w:val="00710201"/>
    <w:rsid w:val="0072073A"/>
    <w:rsid w:val="007342B5"/>
    <w:rsid w:val="00734A5B"/>
    <w:rsid w:val="0074204D"/>
    <w:rsid w:val="00744E76"/>
    <w:rsid w:val="00757D40"/>
    <w:rsid w:val="007618CB"/>
    <w:rsid w:val="007662B5"/>
    <w:rsid w:val="00781F0F"/>
    <w:rsid w:val="0078727C"/>
    <w:rsid w:val="0079049D"/>
    <w:rsid w:val="00793DC5"/>
    <w:rsid w:val="007A7353"/>
    <w:rsid w:val="007B18D8"/>
    <w:rsid w:val="007C095F"/>
    <w:rsid w:val="007C2DD0"/>
    <w:rsid w:val="007C5E33"/>
    <w:rsid w:val="007F2E08"/>
    <w:rsid w:val="008028A4"/>
    <w:rsid w:val="008054E1"/>
    <w:rsid w:val="00813245"/>
    <w:rsid w:val="00840DE0"/>
    <w:rsid w:val="0086354A"/>
    <w:rsid w:val="008652F8"/>
    <w:rsid w:val="00874128"/>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A6106"/>
    <w:rsid w:val="009B07CD"/>
    <w:rsid w:val="009C19E9"/>
    <w:rsid w:val="009D74A6"/>
    <w:rsid w:val="009E0E87"/>
    <w:rsid w:val="00A10F02"/>
    <w:rsid w:val="00A204CA"/>
    <w:rsid w:val="00A209D6"/>
    <w:rsid w:val="00A47A56"/>
    <w:rsid w:val="00A53724"/>
    <w:rsid w:val="00A54B2B"/>
    <w:rsid w:val="00A6755B"/>
    <w:rsid w:val="00A82346"/>
    <w:rsid w:val="00A9671C"/>
    <w:rsid w:val="00AA1553"/>
    <w:rsid w:val="00B05380"/>
    <w:rsid w:val="00B05962"/>
    <w:rsid w:val="00B131EA"/>
    <w:rsid w:val="00B15449"/>
    <w:rsid w:val="00B16C2F"/>
    <w:rsid w:val="00B27303"/>
    <w:rsid w:val="00B400F3"/>
    <w:rsid w:val="00B4513A"/>
    <w:rsid w:val="00B47FD1"/>
    <w:rsid w:val="00B516BB"/>
    <w:rsid w:val="00B70048"/>
    <w:rsid w:val="00B84DB2"/>
    <w:rsid w:val="00BA01F2"/>
    <w:rsid w:val="00BC3555"/>
    <w:rsid w:val="00C12B51"/>
    <w:rsid w:val="00C24650"/>
    <w:rsid w:val="00C25465"/>
    <w:rsid w:val="00C33079"/>
    <w:rsid w:val="00C7540F"/>
    <w:rsid w:val="00C83A13"/>
    <w:rsid w:val="00C9068C"/>
    <w:rsid w:val="00C92967"/>
    <w:rsid w:val="00C9525B"/>
    <w:rsid w:val="00CA3D0C"/>
    <w:rsid w:val="00CA654B"/>
    <w:rsid w:val="00CB72B8"/>
    <w:rsid w:val="00CC3DF5"/>
    <w:rsid w:val="00CD18F5"/>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3C8E"/>
    <w:rsid w:val="00E36C25"/>
    <w:rsid w:val="00E46C08"/>
    <w:rsid w:val="00E471CF"/>
    <w:rsid w:val="00E62835"/>
    <w:rsid w:val="00E72C68"/>
    <w:rsid w:val="00E77645"/>
    <w:rsid w:val="00E83697"/>
    <w:rsid w:val="00EA66C9"/>
    <w:rsid w:val="00EC4A25"/>
    <w:rsid w:val="00F025A2"/>
    <w:rsid w:val="00F036E9"/>
    <w:rsid w:val="00F07388"/>
    <w:rsid w:val="00F2026E"/>
    <w:rsid w:val="00F2210A"/>
    <w:rsid w:val="00F25966"/>
    <w:rsid w:val="00F37743"/>
    <w:rsid w:val="00F54A3D"/>
    <w:rsid w:val="00F54CB0"/>
    <w:rsid w:val="00F579CD"/>
    <w:rsid w:val="00F653B8"/>
    <w:rsid w:val="00F71B89"/>
    <w:rsid w:val="00F7353C"/>
    <w:rsid w:val="00F76F8F"/>
    <w:rsid w:val="00F941DF"/>
    <w:rsid w:val="00FA1266"/>
    <w:rsid w:val="00FB36FA"/>
    <w:rsid w:val="00FC1192"/>
    <w:rsid w:val="00FE251B"/>
    <w:rsid w:val="00FF72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95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5AIRPNAIUNRU-859666464-6497</_dlc_DocId>
    <_dlc_DocIdUrl xmlns="71c5aaf6-e6ce-465b-b873-5148d2a4c105">
      <Url>https://nokia.sharepoint.com/sites/c5g/e2earch/_layouts/15/DocIdRedir.aspx?ID=5AIRPNAIUNRU-859666464-6497</Url>
      <Description>5AIRPNAIUNRU-859666464-6497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2020-05-21T13:51:00Z</dcterms:created>
  <dcterms:modified xsi:type="dcterms:W3CDTF">2020-05-21T14:48:00Z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cfa9db5f-9900-4d9e-bf1f-672f35501799</vt:lpwstr>
  </property>
</Properties>
</file>